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8A0EB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8A0EB7">
        <w:rPr>
          <w:rFonts w:ascii="Arial" w:hAnsi="Arial" w:cs="Arial"/>
          <w:b/>
          <w:bCs/>
          <w:color w:val="FFFFFF"/>
          <w:sz w:val="32"/>
          <w:szCs w:val="32"/>
        </w:rPr>
        <w:t>Podpora a rozvoj ekonomického informačního systému MPSV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8A0EB7" w:rsidRPr="008A0EB7">
        <w:rPr>
          <w:rFonts w:cs="Arial"/>
          <w:sz w:val="20"/>
          <w:szCs w:val="20"/>
          <w:lang w:val="en-US"/>
        </w:rPr>
        <w:t>516135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06186">
        <w:rPr>
          <w:rFonts w:ascii="Arial" w:hAnsi="Arial" w:cs="Arial"/>
          <w:b/>
          <w:sz w:val="26"/>
          <w:szCs w:val="26"/>
          <w:lang w:eastAsia="en-US" w:bidi="en-US"/>
        </w:rPr>
        <w:t>VII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D0BAB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906186">
        <w:rPr>
          <w:rFonts w:ascii="Arial" w:hAnsi="Arial" w:cs="Arial"/>
          <w:sz w:val="20"/>
          <w:szCs w:val="20"/>
          <w:lang w:eastAsia="en-US" w:bidi="en-US"/>
        </w:rPr>
        <w:t xml:space="preserve">9. 9. 2015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Default="00262849" w:rsidP="002D0BAB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906186" w:rsidRDefault="00906186" w:rsidP="002D0BAB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044A47" w:rsidRDefault="00906186" w:rsidP="002D0BAB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06186">
        <w:rPr>
          <w:rFonts w:ascii="Arial" w:hAnsi="Arial" w:cs="Arial"/>
          <w:b/>
          <w:sz w:val="20"/>
          <w:szCs w:val="20"/>
        </w:rPr>
        <w:t>Všechny položené dotazy se vztahují k Příloze č. 6 zadávací dokumentace - Funkční a technické požadavky</w:t>
      </w:r>
    </w:p>
    <w:p w:rsidR="00906186" w:rsidRDefault="00906186" w:rsidP="002D0BAB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906186" w:rsidRDefault="00906186" w:rsidP="002D0BAB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06186">
        <w:rPr>
          <w:rFonts w:ascii="Arial" w:hAnsi="Arial" w:cs="Arial"/>
          <w:b/>
          <w:sz w:val="20"/>
          <w:szCs w:val="20"/>
        </w:rPr>
        <w:t xml:space="preserve">Následující dotazy č. </w:t>
      </w:r>
      <w:r>
        <w:rPr>
          <w:rFonts w:ascii="Arial" w:hAnsi="Arial" w:cs="Arial"/>
          <w:b/>
          <w:sz w:val="20"/>
          <w:szCs w:val="20"/>
        </w:rPr>
        <w:t>1</w:t>
      </w:r>
      <w:r w:rsidRPr="00906186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22</w:t>
      </w:r>
      <w:r w:rsidRPr="00906186">
        <w:rPr>
          <w:rFonts w:ascii="Arial" w:hAnsi="Arial" w:cs="Arial"/>
          <w:b/>
          <w:sz w:val="20"/>
          <w:szCs w:val="20"/>
        </w:rPr>
        <w:t xml:space="preserve"> se vztahují k</w:t>
      </w:r>
      <w:r>
        <w:rPr>
          <w:rFonts w:ascii="Arial" w:hAnsi="Arial" w:cs="Arial"/>
          <w:b/>
          <w:sz w:val="20"/>
          <w:szCs w:val="20"/>
        </w:rPr>
        <w:t> </w:t>
      </w:r>
      <w:r w:rsidRPr="00906186">
        <w:rPr>
          <w:rFonts w:ascii="Arial" w:hAnsi="Arial" w:cs="Arial"/>
          <w:b/>
          <w:sz w:val="20"/>
          <w:szCs w:val="20"/>
        </w:rPr>
        <w:t>odstavci</w:t>
      </w:r>
      <w:r>
        <w:rPr>
          <w:rFonts w:ascii="Arial" w:hAnsi="Arial" w:cs="Arial"/>
          <w:b/>
          <w:sz w:val="20"/>
          <w:szCs w:val="20"/>
        </w:rPr>
        <w:t xml:space="preserve"> 2.2.5.1 HR – Systemizace a personalistika</w:t>
      </w:r>
    </w:p>
    <w:p w:rsidR="002D0BAB" w:rsidRDefault="002D0BAB" w:rsidP="002D0BAB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2D0BAB">
        <w:rPr>
          <w:rFonts w:ascii="Arial" w:hAnsi="Arial" w:cs="Arial"/>
          <w:b/>
          <w:bCs/>
          <w:sz w:val="20"/>
          <w:szCs w:val="20"/>
        </w:rPr>
        <w:t>Část Hlavní funkce:</w:t>
      </w:r>
    </w:p>
    <w:p w:rsidR="00044A47" w:rsidRPr="00040199" w:rsidRDefault="00044A47" w:rsidP="002D0BA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 w:rsidRPr="00040199">
        <w:rPr>
          <w:rFonts w:ascii="Arial" w:hAnsi="Arial" w:cs="Arial"/>
          <w:sz w:val="20"/>
          <w:szCs w:val="20"/>
        </w:rPr>
        <w:t>: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• personální evidence (v rozsahu standardních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infotypů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 SAP),</w:t>
      </w:r>
    </w:p>
    <w:p w:rsidR="00044A47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Otázka: Kterou konkrétní legislativu týkající se personální evidence musí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infotypy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 SAP splňovat a jaká je jejich struktura?</w:t>
      </w:r>
    </w:p>
    <w:p w:rsidR="00044A47" w:rsidRPr="00040199" w:rsidRDefault="00044A47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k tomuto dotazu sděluje, že kapitola č. 2 přílohy č. 6 zadávací dokumentace uvádí popis stávajícího stavu, který vybraný uchazeč převezme v rámci Služeb převzetí, jejichž obsah je v zadávací dokumentaci dostatečně, určitě a jednoznačně definován. Zadavatel tedy vymezil zadávací podmínky plně v souladu s § 44 odst. 1 ZVZ, tedy v rozsahu nezbytném pro zpracování nabídky. Tento dotaz považuje zadavatel tedy za nadbytečný pro účely zpracování nabídky.</w:t>
      </w:r>
    </w:p>
    <w:p w:rsidR="00044A47" w:rsidRPr="00040199" w:rsidRDefault="00044A47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040199" w:rsidRDefault="00044A47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pracovněprávní vztahy</w:t>
      </w:r>
    </w:p>
    <w:p w:rsidR="00044A47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Které konkrétní typy pracovněprávních vztahů podle platné legislativy implementace obsahuje a jak je funkčně pokrývá?</w:t>
      </w:r>
    </w:p>
    <w:p w:rsidR="00044A47" w:rsidRPr="00040199" w:rsidRDefault="00044A47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na tomto místě odkazuje na odpověď k otázce č. 1 těchto dodatečných informací.</w:t>
      </w:r>
    </w:p>
    <w:p w:rsidR="00044A47" w:rsidRPr="00040199" w:rsidRDefault="00044A47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44A47" w:rsidRPr="00040199" w:rsidRDefault="00044A47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odměňování zaměstnanců</w:t>
      </w:r>
    </w:p>
    <w:p w:rsidR="00044A47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Kterou konkrétní legislativu týkající se odměňování zaměstnanců přesně implementace pokrývá a v jakém rozsahu? Jsou i některé neřešené části?</w:t>
      </w:r>
    </w:p>
    <w:p w:rsidR="00044A47" w:rsidRPr="00040199" w:rsidRDefault="00044A47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044A47" w:rsidRPr="00040199" w:rsidRDefault="00044A47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44A47" w:rsidRPr="00040199" w:rsidRDefault="00044A47" w:rsidP="00D75CFA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>Dotaz č. 4:</w:t>
      </w:r>
    </w:p>
    <w:p w:rsidR="0066325C" w:rsidRPr="0066325C" w:rsidRDefault="0066325C" w:rsidP="00D75CFA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evidence docházky</w:t>
      </w:r>
    </w:p>
    <w:p w:rsidR="00044A47" w:rsidRPr="00040199" w:rsidRDefault="0066325C" w:rsidP="00D75CFA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V jakém rozsahu je implementována evidence docházky? Jedná se o přístupový systém například včetně terminálů a dalšího SW vybavení?</w:t>
      </w:r>
    </w:p>
    <w:p w:rsidR="00044A47" w:rsidRPr="00040199" w:rsidRDefault="00044A47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044A47" w:rsidRPr="00040199" w:rsidRDefault="00044A47" w:rsidP="002D0BAB">
      <w:pPr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sz w:val="20"/>
          <w:szCs w:val="20"/>
        </w:rPr>
        <w:t>: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statistika a výkaznictví (v rámci standardních reportů SAP)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Otázka: Jaká je definice oblasti standardních reportů, jejich seznam a struktura? Které konkrétní zákony či vyhlášky jsou tímto pokryty? Jaké jsou algoritmy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nápočtů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 požadovaných statistických výkazů v současné implementaci?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• péče o zaměstnance a fond kulturních a sociálních potřeb (agenda FKSP dle kolektivní smlouvy, systém pouze umožňuje výplatu odměn nebo nepeněžního plnění z FKSP a dále umožňuje strhnout srážku za stravné) 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Na základě čeho systém umožňuje pouze výplatu odměn nebo nepeněžního plnění z FKSP ? Evidence je prováděna jinými prostředky a systém ji neřeší a jsou umožněny „ruční“ vstupy pro jejich zadání? Jakých přesně se týká odměn nepeněžního plnění?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systemizace pracovních míst a organizační uspořádání zadavatele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Jaká konkrétní legislativa je pokryta implementací systemizace pracovních míst a organizačního uspořádání zadavatele?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8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systemizace pracovních míst a organizační uspořádání zadavatele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lastRenderedPageBreak/>
        <w:t>Otázka: V jakém rozsahu podle platné legislativy je prováděna systemizace pracovních míst a organizačního uspořádání zadavatele?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9</w:t>
      </w:r>
      <w:r w:rsidRPr="00040199">
        <w:rPr>
          <w:rFonts w:ascii="Arial" w:hAnsi="Arial" w:cs="Arial"/>
          <w:sz w:val="20"/>
          <w:szCs w:val="20"/>
        </w:rPr>
        <w:t>: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systemizace pracovních míst a organizační uspořádání zadavatele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Má systemizace umožňovat časové řezy do minulosti i plánování do budoucnosti? Pokud ano jak přesně a v jakém rozsahu?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10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systemizace pracovních míst a organizační uspořádání zadavatele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Jaké jsou konkrétní vazby systemizace do části personální a do zúčtování mezd?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11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evidence oborů služby a úřednických zkoušek.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Otázka: Proč je požadována evidence úřednických zkoušek, když jejich zadávání, plánování, evidence probíhá na portálu MV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ISoSS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>? Jedná se o duplicitu? Jak přesně s uvedeným portálem IS komunikuje, existuje popis a dokumentace komunikace?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D0BAB" w:rsidRPr="00040199" w:rsidRDefault="002D0BAB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2D0BAB">
        <w:rPr>
          <w:rFonts w:ascii="Arial" w:hAnsi="Arial" w:cs="Arial"/>
          <w:b/>
          <w:sz w:val="20"/>
          <w:szCs w:val="20"/>
        </w:rPr>
        <w:t>Část Další okruhy: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12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• výpočet praxe dle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nař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vl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>. č. 330/2003 Sb., o platových poměrech zaměstnanců ve veřejných službách a správě, ve znění pozdějších předpisů; resp. podle později platné legislativy,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Proč je uváděn v ZD požadavek podle zrušené legislativy? Skutečně Zadavatel toto požaduje? V případě, že se jedná o chybu, dle jaké konkrétní legislativy má být?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>
        <w:rPr>
          <w:rFonts w:ascii="Arial" w:hAnsi="Arial" w:cs="Arial"/>
          <w:b/>
          <w:sz w:val="20"/>
          <w:szCs w:val="20"/>
        </w:rPr>
        <w:t>3</w:t>
      </w:r>
      <w:r w:rsidRPr="00040199">
        <w:rPr>
          <w:rFonts w:ascii="Arial" w:hAnsi="Arial" w:cs="Arial"/>
          <w:sz w:val="20"/>
          <w:szCs w:val="20"/>
        </w:rPr>
        <w:t>: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zobrazení přehled čerpání dovolené a pracovní neschopnosti zaměstnance v</w:t>
      </w:r>
      <w:r w:rsidR="002D0BAB">
        <w:rPr>
          <w:rFonts w:ascii="Arial" w:hAnsi="Arial" w:cs="Arial"/>
          <w:sz w:val="20"/>
          <w:szCs w:val="20"/>
          <w:lang w:eastAsia="en-US" w:bidi="en-US"/>
        </w:rPr>
        <w:t>ždy po dobu jednoho roku zpětně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Pro koho je určená sestava určena? Pokud pro jednotlivé pracovníky, znamená to, že budou mít do IS přístup všichni pracovníci MPSV? Má v tomto případě Zadavatel potřebné licence, a jaké konkrétně?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14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zobrazení přehled čerpání dovolené a pracovní neschopnosti zaměstnance vždy po dobu jednoho roku zpětně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Co přesně má sestava zobrazovat? Má se její struktura měnit dle typu uživatele, který si ji zobrazuje?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15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zobrazení přehled čerpání dovolené a pracovní neschopnosti zaměstnance vždy po dobu jednoho roku zpětně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Dovolené jsou řešeny v rámci Systemizace a personalistiky, nikoliv v části zúčtování mezd, do které údaje patří?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• přehled o docházce v aktuálním kalendářním měsíci (sestava – ne portál) 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Pro koho je určená sestava určena? Pokud pro jednotlivé pracovníky, znamená to, že budou mít do IS přístup všichni pracovníci MPSV? Jaká je její struktura?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D75CFA">
      <w:pPr>
        <w:keepNext/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>Dotaz č. 1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sz w:val="20"/>
          <w:szCs w:val="20"/>
        </w:rPr>
        <w:t>:</w:t>
      </w:r>
    </w:p>
    <w:p w:rsidR="002D0BAB" w:rsidRDefault="002D0BAB" w:rsidP="00D75CFA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přehled o docházce v aktuálním kalendářním měsíci (sestava – ne portál)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Docházka je řešena v rámci Systemizace a personalistiky, nikoliv v části zúčtování mezd, do které údaje patří?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18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stav odpovídající výplatnímu lístku v aktuálním kalendářním měsíci (sestava – ne</w:t>
      </w:r>
      <w:r w:rsidR="002D0BAB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portál) 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Pro koho je určená sestava určena? Pokud pro jednotlivé pracovníky, znamená to, že budou mít do IS přístup a potřebnou licenci všichni pracovníci MPSV?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19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stav odpovídající výplatnímu lístku v aktuálním kalendářním měsíci (sestava – ne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2D0BAB">
        <w:rPr>
          <w:rFonts w:ascii="Arial" w:hAnsi="Arial" w:cs="Arial"/>
          <w:sz w:val="20"/>
          <w:szCs w:val="20"/>
          <w:lang w:eastAsia="en-US" w:bidi="en-US"/>
        </w:rPr>
        <w:t>portál)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Výplatní lístky jsou při předání anonymizovány, jaký bude způsob nakládání s touto sestavou?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20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stav odpovídající výplatnímu lístku v aktuálním kalendářním měsíci (sestava – ne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2D0BAB">
        <w:rPr>
          <w:rFonts w:ascii="Arial" w:hAnsi="Arial" w:cs="Arial"/>
          <w:sz w:val="20"/>
          <w:szCs w:val="20"/>
          <w:lang w:eastAsia="en-US" w:bidi="en-US"/>
        </w:rPr>
        <w:t>portál)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Proč je tato sestava zařazena v části systemizace a personalistika, když údaje patří do části zúčtování mezd? Znamená to, že vyplacené částky mají být dostupné v části systemizace a personalistika?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stav systemizace (standardní sestavy).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Otázka: O jaké standardní sestavy se přesně jedná? Jaký je výčet standardu z pohledu zadavatele a jeho algoritmy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nápočtu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>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40199">
        <w:rPr>
          <w:rFonts w:ascii="Arial" w:hAnsi="Arial" w:cs="Arial"/>
          <w:b/>
          <w:sz w:val="20"/>
          <w:szCs w:val="20"/>
        </w:rPr>
        <w:t xml:space="preserve">2: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Poslední odstavec bodu 2.2.5.1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V zadávací dokumentaci jsou zmiňovány pracovně právní dokumenty. O jaké konkrétní se jedná a jaký mají obsah?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66325C">
        <w:rPr>
          <w:rFonts w:ascii="Arial" w:hAnsi="Arial" w:cs="Arial"/>
          <w:b/>
          <w:sz w:val="20"/>
          <w:szCs w:val="20"/>
        </w:rPr>
        <w:t xml:space="preserve">Následující dotazy č. </w:t>
      </w:r>
      <w:r>
        <w:rPr>
          <w:rFonts w:ascii="Arial" w:hAnsi="Arial" w:cs="Arial"/>
          <w:b/>
          <w:sz w:val="20"/>
          <w:szCs w:val="20"/>
        </w:rPr>
        <w:t>23</w:t>
      </w:r>
      <w:r w:rsidRPr="0066325C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35</w:t>
      </w:r>
      <w:r w:rsidRPr="0066325C">
        <w:rPr>
          <w:rFonts w:ascii="Arial" w:hAnsi="Arial" w:cs="Arial"/>
          <w:b/>
          <w:sz w:val="20"/>
          <w:szCs w:val="20"/>
        </w:rPr>
        <w:t xml:space="preserve"> se vztahují k</w:t>
      </w:r>
      <w:r>
        <w:rPr>
          <w:rFonts w:ascii="Arial" w:hAnsi="Arial" w:cs="Arial"/>
          <w:b/>
          <w:sz w:val="20"/>
          <w:szCs w:val="20"/>
        </w:rPr>
        <w:t> </w:t>
      </w:r>
      <w:r w:rsidRPr="0066325C">
        <w:rPr>
          <w:rFonts w:ascii="Arial" w:hAnsi="Arial" w:cs="Arial"/>
          <w:b/>
          <w:sz w:val="20"/>
          <w:szCs w:val="20"/>
        </w:rPr>
        <w:t>odstavci</w:t>
      </w:r>
      <w:r>
        <w:rPr>
          <w:rFonts w:ascii="Arial" w:hAnsi="Arial" w:cs="Arial"/>
          <w:b/>
          <w:sz w:val="20"/>
          <w:szCs w:val="20"/>
        </w:rPr>
        <w:t xml:space="preserve"> 2.2.5.2 HR – zúčtování mezd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40199">
        <w:rPr>
          <w:rFonts w:ascii="Arial" w:hAnsi="Arial" w:cs="Arial"/>
          <w:b/>
          <w:sz w:val="20"/>
          <w:szCs w:val="20"/>
        </w:rPr>
        <w:t>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Jedná se o oblast, která v systému EKIS zabezpečuje výpočet mezd dle platné legislativy.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O jakou legislativu se přesně jedná? V jakém rozsahu je část HR – zúčtování mezd nyní nastavena a implementována?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66325C">
        <w:rPr>
          <w:rFonts w:ascii="Arial" w:hAnsi="Arial" w:cs="Arial"/>
          <w:b/>
          <w:sz w:val="20"/>
          <w:szCs w:val="20"/>
        </w:rPr>
        <w:t>Část Hlavní funkce: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40199">
        <w:rPr>
          <w:rFonts w:ascii="Arial" w:hAnsi="Arial" w:cs="Arial"/>
          <w:b/>
          <w:sz w:val="20"/>
          <w:szCs w:val="20"/>
        </w:rPr>
        <w:t>4: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Správa kmenových dat o zaměstnancích MPSV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V jakém rozsahu se spravují data o zaměstnanci? Prvotní evidence a správa dat zaměstnance se provádí v části zúčtování mezd a ne v personální části kde by data měla vznikat?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25</w:t>
      </w:r>
      <w:r w:rsidRPr="00040199">
        <w:rPr>
          <w:rFonts w:ascii="Arial" w:hAnsi="Arial" w:cs="Arial"/>
          <w:sz w:val="20"/>
          <w:szCs w:val="20"/>
        </w:rPr>
        <w:t>: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>• Správa kmenových dat o zaměstnancích MPSV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Budou evidováni i pracovníci s DPČ, případně další?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2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Měsíční aktualizace dat na základě zadání z přehledů nepřítomnosti s možností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okamžitého náhledu na plat zaměstnance,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Otázka: Přehledy nepřítomnosti jsou odkud a v jaké formě – jakou vazbu mají na docházku zmiňovanou výše?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Kdo připravuje přehledy nepřítomnosti? 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Je aktualizace automatickým procesem?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27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Výpočet platu vč. všech náležitostí tj. včetně zákonných odvodů a srážek,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Otázka: Kterou konkrétní legislativu přesně výpočet platů pokrývá?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Obsahuje implementace části, které nejsou automatickým výpočtem pokryty? Pokud ano jak jsou řešeny?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Pokrývá výpočet platů i ustanovení kolektivní smlouvy a v jaké šíři?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28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Výpočet nemocenských dávek, náhrady mzdy po dobu prvních 14 kalendářních dní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trvání dočasné pracovní neschopnosti dle zákona o nemocenském pojištění,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V této části HR – zúčtování mezd, chybí požadavek na řešení platu při dočasné neschopnosti k výkonu služby. 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Nemá být řešeno nebo bylo opomenuto zadání této části výpočtu dle zákona 234/2014 Sb. a zadání je tedy neúplné?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66325C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29</w:t>
      </w:r>
      <w:r w:rsidRPr="00040199">
        <w:rPr>
          <w:rFonts w:ascii="Arial" w:hAnsi="Arial" w:cs="Arial"/>
          <w:sz w:val="20"/>
          <w:szCs w:val="20"/>
        </w:rPr>
        <w:t>: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 xml:space="preserve">• Měsíční mzdová závěrka vč. všech náležitostí (bankovní příkazy, výstupy pro orgány </w:t>
      </w:r>
      <w:proofErr w:type="gramStart"/>
      <w:r w:rsidRPr="002D0BAB">
        <w:rPr>
          <w:rFonts w:ascii="Arial" w:hAnsi="Arial" w:cs="Arial"/>
          <w:sz w:val="20"/>
          <w:szCs w:val="20"/>
          <w:lang w:eastAsia="en-US" w:bidi="en-US"/>
        </w:rPr>
        <w:t>zdrav. a soc.</w:t>
      </w:r>
      <w:proofErr w:type="gramEnd"/>
      <w:r w:rsidRPr="002D0BAB">
        <w:rPr>
          <w:rFonts w:ascii="Arial" w:hAnsi="Arial" w:cs="Arial"/>
          <w:sz w:val="20"/>
          <w:szCs w:val="20"/>
          <w:lang w:eastAsia="en-US" w:bidi="en-US"/>
        </w:rPr>
        <w:t xml:space="preserve"> pojištění dle požadované struktury, tisk sestav, výplatnic, výplatních sáčků, převod výstupů z mzdového účetnictví do finančního účetnictví a do oblasti controllingu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Otázka: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Výplatky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 jsou zaměstnancům zasílány elektronicky? Nebo probíhá tisk výplatních lístků a ne elektronické odeslání?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30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 xml:space="preserve">• Měsíční mzdová závěrka vč. všech náležitostí (bankovní příkazy, výstupy pro orgány </w:t>
      </w:r>
      <w:proofErr w:type="gramStart"/>
      <w:r w:rsidRPr="002D0BAB">
        <w:rPr>
          <w:rFonts w:ascii="Arial" w:hAnsi="Arial" w:cs="Arial"/>
          <w:sz w:val="20"/>
          <w:szCs w:val="20"/>
          <w:lang w:eastAsia="en-US" w:bidi="en-US"/>
        </w:rPr>
        <w:t>zdrav. a soc.</w:t>
      </w:r>
      <w:proofErr w:type="gramEnd"/>
      <w:r w:rsidRPr="002D0BAB">
        <w:rPr>
          <w:rFonts w:ascii="Arial" w:hAnsi="Arial" w:cs="Arial"/>
          <w:sz w:val="20"/>
          <w:szCs w:val="20"/>
          <w:lang w:eastAsia="en-US" w:bidi="en-US"/>
        </w:rPr>
        <w:t xml:space="preserve"> pojištění dle požadované struktury, tisk sestav, výplatnic, výplatních sáčků, převod výstupů z mzdového účetnictví do finančního účetnictví a do oblasti controllingu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Pouze v tomto bodě se hovoří o mzdovém účetnictví, jak je přesně definováno a co obsahuje (dál v ZD o něm není zmínka)?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</w:t>
      </w:r>
      <w:r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 xml:space="preserve">• Měsíční mzdová závěrka vč. všech náležitostí (bankovní příkazy, výstupy pro orgány </w:t>
      </w:r>
      <w:proofErr w:type="gramStart"/>
      <w:r w:rsidRPr="002D0BAB">
        <w:rPr>
          <w:rFonts w:ascii="Arial" w:hAnsi="Arial" w:cs="Arial"/>
          <w:sz w:val="20"/>
          <w:szCs w:val="20"/>
          <w:lang w:eastAsia="en-US" w:bidi="en-US"/>
        </w:rPr>
        <w:t>zdrav. a soc.</w:t>
      </w:r>
      <w:proofErr w:type="gramEnd"/>
      <w:r w:rsidRPr="002D0BAB">
        <w:rPr>
          <w:rFonts w:ascii="Arial" w:hAnsi="Arial" w:cs="Arial"/>
          <w:sz w:val="20"/>
          <w:szCs w:val="20"/>
          <w:lang w:eastAsia="en-US" w:bidi="en-US"/>
        </w:rPr>
        <w:t xml:space="preserve"> pojištění dle požadované struktury, tisk sestav, výplatnic, výplatních sáčků, převod výstupů z mzdového účetnictví do finančního účetnictví a do oblasti controllingu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Otázka: Jaký je přesně formát výplatního lístku? Pokud se budou výplatní lístky tisknout, bude jejich dodávku zajišťovat provozovatel IS? Jak se zvedne časová náročnost zpracování mezd při tisku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výplatek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 oproti jejich elektronickému odeslání? Jaké jsou dostupné tiskárny pro jejich tisk – typ a množství?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32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2D0BAB" w:rsidRDefault="002D0BA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D0BAB">
        <w:rPr>
          <w:rFonts w:ascii="Arial" w:hAnsi="Arial" w:cs="Arial"/>
          <w:sz w:val="20"/>
          <w:szCs w:val="20"/>
          <w:lang w:eastAsia="en-US" w:bidi="en-US"/>
        </w:rPr>
        <w:t xml:space="preserve">• Měsíční mzdová závěrka vč. všech náležitostí (bankovní příkazy, výstupy pro orgány </w:t>
      </w:r>
      <w:proofErr w:type="gramStart"/>
      <w:r w:rsidRPr="002D0BAB">
        <w:rPr>
          <w:rFonts w:ascii="Arial" w:hAnsi="Arial" w:cs="Arial"/>
          <w:sz w:val="20"/>
          <w:szCs w:val="20"/>
          <w:lang w:eastAsia="en-US" w:bidi="en-US"/>
        </w:rPr>
        <w:t>zdrav. a soc.</w:t>
      </w:r>
      <w:proofErr w:type="gramEnd"/>
      <w:r w:rsidRPr="002D0BAB">
        <w:rPr>
          <w:rFonts w:ascii="Arial" w:hAnsi="Arial" w:cs="Arial"/>
          <w:sz w:val="20"/>
          <w:szCs w:val="20"/>
          <w:lang w:eastAsia="en-US" w:bidi="en-US"/>
        </w:rPr>
        <w:t xml:space="preserve"> pojištění dle požadované struktury, tisk sestav, výplatnic, výplatních sáčků, převod výstupů z mzdového účetnictví do finančního účetnictví a do oblasti controllingu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Otázka: Jaký je přesný formát </w:t>
      </w:r>
      <w:proofErr w:type="gramStart"/>
      <w:r w:rsidRPr="0066325C">
        <w:rPr>
          <w:rFonts w:ascii="Arial" w:hAnsi="Arial" w:cs="Arial"/>
          <w:sz w:val="20"/>
          <w:szCs w:val="20"/>
          <w:lang w:eastAsia="en-US" w:bidi="en-US"/>
        </w:rPr>
        <w:t>výstupů z mzdového</w:t>
      </w:r>
      <w:proofErr w:type="gramEnd"/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 účetnictví do oblasti controllingu?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33</w:t>
      </w:r>
      <w:r w:rsidRPr="00040199">
        <w:rPr>
          <w:rFonts w:ascii="Arial" w:hAnsi="Arial" w:cs="Arial"/>
          <w:sz w:val="20"/>
          <w:szCs w:val="20"/>
        </w:rPr>
        <w:t>: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Potvrzení zaměstnance pro účely státní sociální podpory, soudů apod.,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Otázka: Jaké jsou v tomto případě konkrétní požadavky, tisknou se potvrzení do předtištěných příslušných formulářů nebo se tisknou podle definice např. ČSSZ, ZP, FÚ atd.. </w:t>
      </w:r>
      <w:proofErr w:type="gramStart"/>
      <w:r w:rsidRPr="0066325C">
        <w:rPr>
          <w:rFonts w:ascii="Arial" w:hAnsi="Arial" w:cs="Arial"/>
          <w:sz w:val="20"/>
          <w:szCs w:val="20"/>
          <w:lang w:eastAsia="en-US" w:bidi="en-US"/>
        </w:rPr>
        <w:t>celé</w:t>
      </w:r>
      <w:proofErr w:type="gramEnd"/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 a na volné listy ? 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Pokud se tisknou do formulářů, je součástí zadání i zajištění těchto formulářů dodavatelem?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lastRenderedPageBreak/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34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• Roční náležitosti v oblasti mezd (roční zúčtování daně z příjmu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fyz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>. osob, evidenční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listy zaměstnanců vč. elektronického převodu), (ELDP bez elektronického podpisu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v prostředí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SAPu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>),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Proč není použit standardní formát rozhraní vyhlášený ČSSZ včetně elektronického podpisu, má zadavatel výjimku?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35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• Generování souboru pro ONZ/Registr pojištěnců – měsíčně (bez elektronického</w:t>
      </w:r>
    </w:p>
    <w:p w:rsidR="0066325C" w:rsidRPr="0066325C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podpisu v prostředí </w:t>
      </w:r>
      <w:proofErr w:type="spellStart"/>
      <w:r w:rsidRPr="0066325C">
        <w:rPr>
          <w:rFonts w:ascii="Arial" w:hAnsi="Arial" w:cs="Arial"/>
          <w:sz w:val="20"/>
          <w:szCs w:val="20"/>
          <w:lang w:eastAsia="en-US" w:bidi="en-US"/>
        </w:rPr>
        <w:t>SAPu</w:t>
      </w:r>
      <w:proofErr w:type="spellEnd"/>
      <w:r w:rsidRPr="0066325C">
        <w:rPr>
          <w:rFonts w:ascii="Arial" w:hAnsi="Arial" w:cs="Arial"/>
          <w:sz w:val="20"/>
          <w:szCs w:val="20"/>
          <w:lang w:eastAsia="en-US" w:bidi="en-US"/>
        </w:rPr>
        <w:t xml:space="preserve">). </w:t>
      </w:r>
    </w:p>
    <w:p w:rsidR="00157ABA" w:rsidRPr="00040199" w:rsidRDefault="0066325C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6325C">
        <w:rPr>
          <w:rFonts w:ascii="Arial" w:hAnsi="Arial" w:cs="Arial"/>
          <w:sz w:val="20"/>
          <w:szCs w:val="20"/>
          <w:lang w:eastAsia="en-US" w:bidi="en-US"/>
        </w:rPr>
        <w:t>Otázka: Proč není použit standardní formát rozhraní vyhlášený ČSSZ včetně elektronického podpisu, má Zadavatel výjimku?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57ABA" w:rsidRPr="00040199" w:rsidRDefault="004760FB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760FB">
        <w:rPr>
          <w:rFonts w:ascii="Arial" w:hAnsi="Arial" w:cs="Arial"/>
          <w:sz w:val="20"/>
          <w:szCs w:val="20"/>
          <w:lang w:eastAsia="en-US" w:bidi="en-US"/>
        </w:rPr>
        <w:t>Zadavatel na tomto místě odkazuje na odpověď k otázce č. 1 těchto dodatečných informací.</w:t>
      </w:r>
    </w:p>
    <w:p w:rsidR="00157ABA" w:rsidRPr="00040199" w:rsidRDefault="00157ABA" w:rsidP="002D0BA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57ABA" w:rsidRPr="00040199" w:rsidRDefault="00157ABA" w:rsidP="002D0BAB">
      <w:pPr>
        <w:jc w:val="both"/>
        <w:rPr>
          <w:rFonts w:ascii="Arial" w:hAnsi="Arial" w:cs="Arial"/>
          <w:sz w:val="20"/>
          <w:szCs w:val="20"/>
        </w:rPr>
      </w:pPr>
    </w:p>
    <w:p w:rsidR="00044A47" w:rsidRPr="00040199" w:rsidRDefault="00044A47" w:rsidP="002D0BAB">
      <w:pPr>
        <w:jc w:val="both"/>
        <w:rPr>
          <w:rFonts w:ascii="Arial" w:hAnsi="Arial" w:cs="Arial"/>
          <w:sz w:val="20"/>
          <w:szCs w:val="20"/>
        </w:rPr>
      </w:pPr>
    </w:p>
    <w:p w:rsidR="00044A47" w:rsidRPr="00040199" w:rsidRDefault="00044A47" w:rsidP="002D0BAB">
      <w:pPr>
        <w:jc w:val="both"/>
        <w:rPr>
          <w:rFonts w:ascii="Arial" w:hAnsi="Arial" w:cs="Arial"/>
          <w:sz w:val="20"/>
          <w:szCs w:val="20"/>
        </w:rPr>
      </w:pPr>
    </w:p>
    <w:p w:rsidR="00044A47" w:rsidRPr="00040199" w:rsidRDefault="00044A47" w:rsidP="002D0BAB">
      <w:pPr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4E44E0">
        <w:rPr>
          <w:rFonts w:ascii="Arial" w:hAnsi="Arial" w:cs="Arial"/>
          <w:sz w:val="20"/>
          <w:szCs w:val="20"/>
          <w:lang w:eastAsia="en-US" w:bidi="en-US"/>
        </w:rPr>
        <w:t>15. 9. 2015</w:t>
      </w:r>
    </w:p>
    <w:p w:rsidR="00262849" w:rsidRDefault="00262849" w:rsidP="002D0BAB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E2E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E2EC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779D9">
      <w:rPr>
        <w:rStyle w:val="slostrnky"/>
        <w:rFonts w:ascii="Arial" w:hAnsi="Arial" w:cs="Arial"/>
        <w:noProof/>
        <w:sz w:val="20"/>
        <w:szCs w:val="20"/>
      </w:rPr>
      <w:t>10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779D9">
      <w:rPr>
        <w:rStyle w:val="slostrnky"/>
        <w:rFonts w:ascii="Arial" w:hAnsi="Arial" w:cs="Arial"/>
        <w:noProof/>
        <w:sz w:val="20"/>
        <w:szCs w:val="20"/>
      </w:rPr>
      <w:t>10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8"/>
  </w:num>
  <w:num w:numId="11">
    <w:abstractNumId w:val="5"/>
  </w:num>
  <w:num w:numId="12">
    <w:abstractNumId w:val="11"/>
  </w:num>
  <w:num w:numId="13">
    <w:abstractNumId w:val="15"/>
  </w:num>
  <w:num w:numId="14">
    <w:abstractNumId w:val="27"/>
  </w:num>
  <w:num w:numId="15">
    <w:abstractNumId w:val="25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9"/>
  </w:num>
  <w:num w:numId="24">
    <w:abstractNumId w:val="9"/>
  </w:num>
  <w:num w:numId="25">
    <w:abstractNumId w:val="8"/>
  </w:num>
  <w:num w:numId="26">
    <w:abstractNumId w:val="21"/>
  </w:num>
  <w:num w:numId="27">
    <w:abstractNumId w:val="24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0BAB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4932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760FB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44E0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325C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06186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779D9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75CFA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01FE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47373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qZoG8rT9/B1ct6peDL/AKkuDELE=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/X1x1E+9iTTwVWn0zBNERsY0H3Q=</DigestValue>
    </Reference>
  </SignedInfo>
  <SignatureValue>kEZYXlZFdBDPZiKf7KV0MkmWXXei9AKeZR3aZt/9zKL72v2l1iBRtIUlQKojz7wJe0rKx9OAuTMR
UHzUzxvc54u2Oj79s+mepHn+1l5AHUkAJx3OaFA7ybs2PRhgdxvxXPS686KdiOog8IQqlwup1JLt
3v+qxzIr9+CIe4t1q3Y4VVFY/22Qtnt9f8lWXa4ANZFgVhHRyxzH3/jshf2FujsMMG0lFdEShWUC
1VhD4Ka9XQ89wDMo0Dz1n4dvsjsWxZr6BBAJg8i61AREtsXloOSFt2ooKqC+D7u49wmUSrUmW21N
W9YcQkv+NeGpQEkrnklfzCs4FwdCtHikWx3uKQ==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8wNWeW2c1hRoueN6h12cRuwv8I8=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hFYW7i3dnOXtALCu7VuQifb+rYM=</DigestValue>
      </Reference>
      <Reference URI="/word/styles.xml?ContentType=application/vnd.openxmlformats-officedocument.wordprocessingml.styles+xml">
        <DigestMethod Algorithm="http://www.w3.org/2000/09/xmldsig#sha1"/>
        <DigestValue>ASDW/PvLGN0dia0NEK8Ehr09wu4=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7LnsXBKNhTAXMXghRgivx8dT7SM=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8L2cEnjzggQOF3YBqh0KOGooovw=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xyHcYC3WUdanIQ/5KySiPVOWqZs=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2015-09-15T14:46:53Z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2015-09-15T14:46:53Z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8662c659-72ab-411b-b755-fbef5cbbde18"/>
    <ds:schemaRef ds:uri="4085a4f5-5f40-4143-b221-75ee5dde648a"/>
    <ds:schemaRef ds:uri="5e6c6c5c-474c-4ef7-b7d6-59a0e77cc25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CD0192-B768-4DC3-AEE8-7E677DD8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2147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14832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2015-09-15T14:45:00Z</cp:lastPrinted>
  <dcterms:created xsi:type="dcterms:W3CDTF">2015-09-15T14:24:00Z</dcterms:created>
  <dcterms:modified xsi:type="dcterms:W3CDTF">2015-09-15T14:46:00Z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